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ROSCI0267ZPB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Valea Roșie</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31,14</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3,96%</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 - Vest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Bihor</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31,14</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spacing w:after="0" w:line="300" w:lineRule="auto"/>
        <w:rPr>
          <w:sz w:val="22"/>
          <w:szCs w:val="22"/>
        </w:rPr>
      </w:pP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Decizia Comitetului Executiv al Consiliului Popular Județean Bihor nr. 261/1971: Fâneața Valea Roșie;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RONPA0179 Fâneața Valea Roșie;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7">
      <w:pPr>
        <w:spacing w:after="0" w:before="160" w:line="300" w:lineRule="auto"/>
        <w:rPr>
          <w:sz w:val="22"/>
          <w:szCs w:val="22"/>
        </w:rPr>
      </w:pPr>
      <w:r w:rsidDel="00000000" w:rsidR="00000000" w:rsidRPr="00000000">
        <w:rPr>
          <w:rtl w:val="0"/>
        </w:rPr>
      </w:r>
    </w:p>
    <w:p w:rsidR="00000000" w:rsidDel="00000000" w:rsidP="00000000" w:rsidRDefault="00000000" w:rsidRPr="00000000" w14:paraId="00000068">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b w:val="1"/>
                <w:bCs w:val="1"/>
                <w:sz w:val="22"/>
                <w:szCs w:val="22"/>
              </w:rPr>
            </w:pPr>
            <w:r w:rsidDel="00000000" w:rsidR="00000000" w:rsidRPr="00000000">
              <w:rPr>
                <w:b w:val="1"/>
                <w:bCs w:val="1"/>
                <w:sz w:val="22"/>
                <w:szCs w:val="22"/>
                <w:rtl w:val="0"/>
              </w:rPr>
              <w:t xml:space="preserve">Habitate de pajiști xerofile seminaturale și facies cu tufărișuri:</w:t>
            </w:r>
          </w:p>
          <w:p w:rsidR="00000000" w:rsidDel="00000000" w:rsidP="00000000" w:rsidRDefault="00000000" w:rsidRPr="00000000" w14:paraId="0000006D">
            <w:pPr>
              <w:spacing w:after="0" w:line="300" w:lineRule="auto"/>
              <w:rPr>
                <w:i w:val="1"/>
                <w:iCs w:val="1"/>
                <w:sz w:val="22"/>
                <w:szCs w:val="22"/>
              </w:rPr>
            </w:pPr>
            <w:r w:rsidDel="00000000" w:rsidR="00000000" w:rsidRPr="00000000">
              <w:rPr>
                <w:i w:val="1"/>
                <w:iCs w:val="1"/>
                <w:sz w:val="22"/>
                <w:szCs w:val="22"/>
                <w:rtl w:val="0"/>
              </w:rPr>
              <w:t xml:space="preserve">6240* Pajiști stepice subpanonice</w:t>
            </w:r>
          </w:p>
          <w:p w:rsidR="00000000" w:rsidDel="00000000" w:rsidP="00000000" w:rsidRDefault="00000000" w:rsidRPr="00000000" w14:paraId="0000006E">
            <w:pPr>
              <w:spacing w:after="0" w:line="300" w:lineRule="auto"/>
              <w:rPr>
                <w:b w:val="1"/>
                <w:bCs w:val="1"/>
                <w:sz w:val="22"/>
                <w:szCs w:val="22"/>
              </w:rPr>
            </w:pPr>
            <w:r w:rsidDel="00000000" w:rsidR="00000000" w:rsidRPr="00000000">
              <w:rPr>
                <w:b w:val="1"/>
                <w:bCs w:val="1"/>
                <w:sz w:val="22"/>
                <w:szCs w:val="22"/>
                <w:rtl w:val="0"/>
              </w:rPr>
              <w:t xml:space="preserve">Habitate de pajiști mezofile:</w:t>
            </w:r>
          </w:p>
          <w:p w:rsidR="00000000" w:rsidDel="00000000" w:rsidP="00000000" w:rsidRDefault="00000000" w:rsidRPr="00000000" w14:paraId="0000006F">
            <w:pPr>
              <w:spacing w:after="0" w:line="300" w:lineRule="auto"/>
              <w:rPr>
                <w:i w:val="1"/>
                <w:iCs w:val="1"/>
                <w:sz w:val="22"/>
                <w:szCs w:val="22"/>
              </w:rPr>
            </w:pPr>
            <w:r w:rsidDel="00000000" w:rsidR="00000000" w:rsidRPr="00000000">
              <w:rPr>
                <w:i w:val="1"/>
                <w:iCs w:val="1"/>
                <w:sz w:val="22"/>
                <w:szCs w:val="22"/>
                <w:rtl w:val="0"/>
              </w:rPr>
              <w:t xml:space="preserve">6510 Pajiști de altitudine joasă (Alopecurus pratensis, Sanguisorba officinalis)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i w:val="1"/>
                <w:iCs w:val="1"/>
                <w:sz w:val="22"/>
                <w:szCs w:val="22"/>
                <w:rtl w:val="0"/>
              </w:rPr>
              <w:t xml:space="preserve">1193 Bombina variegata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75">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76">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77">
            <w:pPr>
              <w:jc w:val="both"/>
              <w:rPr/>
            </w:pPr>
            <w:r w:rsidDel="00000000" w:rsidR="00000000" w:rsidRPr="00000000">
              <w:rPr>
                <w:sz w:val="22"/>
                <w:szCs w:val="22"/>
                <w:rtl w:val="0"/>
              </w:rPr>
              <w:t xml:space="preserve">Desemnarea are la bază valoarea ecologică ridicată a habitatelor și speciilor de interes conservativ asociate ecosistemelor de pajiști semi-naturale.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300" w:lineRule="auto"/>
              <w:rPr>
                <w:sz w:val="22"/>
                <w:szCs w:val="22"/>
              </w:rPr>
            </w:pPr>
            <w:r w:rsidDel="00000000" w:rsidR="00000000" w:rsidRPr="00000000">
              <w:rPr>
                <w:sz w:val="22"/>
                <w:szCs w:val="22"/>
                <w:rtl w:val="0"/>
              </w:rPr>
              <w:t xml:space="preserve">A04 Pasunatul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7C">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D">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7E">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7F">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80">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85">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99">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9A">
      <w:pPr>
        <w:pBdr>
          <w:top w:color="000000" w:space="0" w:sz="6" w:val="single"/>
          <w:left w:color="000000" w:space="0" w:sz="6" w:val="single"/>
          <w:bottom w:color="000000" w:space="0" w:sz="6" w:val="single"/>
          <w:right w:color="000000" w:space="0" w:sz="6" w:val="single"/>
        </w:pBdr>
        <w:spacing w:after="240" w:before="240" w:line="300" w:lineRule="auto"/>
        <w:rPr>
          <w:sz w:val="22"/>
          <w:szCs w:val="22"/>
        </w:rPr>
      </w:pPr>
      <w:r w:rsidDel="00000000" w:rsidR="00000000" w:rsidRPr="00000000">
        <w:rPr>
          <w:sz w:val="22"/>
          <w:szCs w:val="22"/>
          <w:rtl w:val="0"/>
        </w:rPr>
        <w:t xml:space="preserve">Herman, G., V., Ilieș D., C., Măduţa M., F., Ilieș Al., Gozner, M., Buhaș R., Mihok-Geczi I., M., T., (2016b), Approaches regarding the importance of Natura 2000 sites’ settings pupil’s education through geography. Case study: Valea Rose (Red Valley) Natura 2000, Bihor country, Romania. Journal of Geography, Politics and Society, 6(4), 57-62</w:t>
      </w:r>
    </w:p>
    <w:p w:rsidR="00000000" w:rsidDel="00000000" w:rsidP="00000000" w:rsidRDefault="00000000" w:rsidRPr="00000000" w14:paraId="0000009B">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9C">
      <w:pPr>
        <w:spacing w:after="0" w:line="300" w:lineRule="auto"/>
        <w:rPr>
          <w:sz w:val="22"/>
          <w:szCs w:val="22"/>
        </w:rPr>
      </w:pPr>
      <w:r w:rsidDel="00000000" w:rsidR="00000000" w:rsidRPr="00000000">
        <w:rPr>
          <w:rtl w:val="0"/>
        </w:rPr>
      </w:r>
    </w:p>
    <w:p w:rsidR="00000000" w:rsidDel="00000000" w:rsidP="00000000" w:rsidRDefault="00000000" w:rsidRPr="00000000" w14:paraId="0000009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bookmarkStart w:colFirst="0" w:colLast="0" w:name="_heading=h.dr70e3ciahdr" w:id="0"/>
      <w:bookmarkEnd w:id="0"/>
      <w:r w:rsidDel="00000000" w:rsidR="00000000" w:rsidRPr="00000000">
        <w:rPr>
          <w:sz w:val="22"/>
          <w:szCs w:val="22"/>
          <w:rtl w:val="0"/>
        </w:rPr>
        <w:t xml:space="preserve">Consultările publice  au fost realizate la: 19 septembrie 2024 – Oradea, jud. Bihor. Ulterior, în cadrul procesului de consultare extins la nivel național, au avut loc consultări suplimentare online, în data de 29 ianuarie 2026, urmată de consultări publice la Prefectura Bihor, cu participarea factorilor interesați relevanți din județul Bihor</w:t>
      </w:r>
    </w:p>
    <w:p w:rsidR="00000000" w:rsidDel="00000000" w:rsidP="00000000" w:rsidRDefault="00000000" w:rsidRPr="00000000" w14:paraId="0000009E">
      <w:pPr>
        <w:spacing w:after="0" w:line="300" w:lineRule="auto"/>
        <w:rPr>
          <w:b w:val="1"/>
          <w:bCs w:val="1"/>
          <w:sz w:val="22"/>
          <w:szCs w:val="22"/>
        </w:rPr>
      </w:pPr>
      <w:r w:rsidDel="00000000" w:rsidR="00000000" w:rsidRPr="00000000">
        <w:rPr>
          <w:rtl w:val="0"/>
        </w:rPr>
      </w:r>
    </w:p>
    <w:p w:rsidR="00000000" w:rsidDel="00000000" w:rsidP="00000000" w:rsidRDefault="00000000" w:rsidRPr="00000000" w14:paraId="0000009F">
      <w:pPr>
        <w:spacing w:after="0" w:line="300" w:lineRule="auto"/>
        <w:rPr>
          <w:b w:val="1"/>
          <w:bCs w:val="1"/>
          <w:sz w:val="22"/>
          <w:szCs w:val="22"/>
        </w:rPr>
      </w:pPr>
      <w:r w:rsidDel="00000000" w:rsidR="00000000" w:rsidRPr="00000000">
        <w:rPr>
          <w:rtl w:val="0"/>
        </w:rPr>
      </w:r>
    </w:p>
    <w:p w:rsidR="00000000" w:rsidDel="00000000" w:rsidP="00000000" w:rsidRDefault="00000000" w:rsidRPr="00000000" w14:paraId="000000A0">
      <w:pPr>
        <w:spacing w:after="0" w:line="300" w:lineRule="auto"/>
        <w:jc w:val="center"/>
        <w:rPr>
          <w:b w:val="1"/>
          <w:bCs w:val="1"/>
          <w:sz w:val="22"/>
          <w:szCs w:val="22"/>
        </w:rPr>
      </w:pPr>
      <w:bookmarkStart w:colFirst="0" w:colLast="0" w:name="_heading=h.venjbad48mtw" w:id="1"/>
      <w:bookmarkEnd w:id="1"/>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A1">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A2">
      <w:pPr>
        <w:spacing w:after="0" w:line="300" w:lineRule="auto"/>
        <w:rPr>
          <w:sz w:val="22"/>
          <w:szCs w:val="22"/>
        </w:rPr>
      </w:pPr>
      <w:r w:rsidDel="00000000" w:rsidR="00000000" w:rsidRPr="00000000">
        <w:rPr>
          <w:rtl w:val="0"/>
        </w:rPr>
      </w:r>
    </w:p>
    <w:p w:rsidR="00000000" w:rsidDel="00000000" w:rsidP="00000000" w:rsidRDefault="00000000" w:rsidRPr="00000000" w14:paraId="000000A3">
      <w:pPr>
        <w:spacing w:after="0" w:line="300" w:lineRule="auto"/>
        <w:rPr>
          <w:sz w:val="22"/>
          <w:szCs w:val="22"/>
        </w:rPr>
      </w:pPr>
      <w:r w:rsidDel="00000000" w:rsidR="00000000" w:rsidRPr="00000000">
        <w:rPr>
          <w:rtl w:val="0"/>
        </w:rPr>
      </w:r>
    </w:p>
    <w:p w:rsidR="00000000" w:rsidDel="00000000" w:rsidP="00000000" w:rsidRDefault="00000000" w:rsidRPr="00000000" w14:paraId="000000A4">
      <w:pPr>
        <w:spacing w:after="0" w:line="300" w:lineRule="auto"/>
        <w:rPr>
          <w:sz w:val="22"/>
          <w:szCs w:val="22"/>
        </w:rPr>
      </w:pPr>
      <w:r w:rsidDel="00000000" w:rsidR="00000000" w:rsidRPr="00000000">
        <w:rPr>
          <w:rtl w:val="0"/>
        </w:rPr>
      </w:r>
    </w:p>
    <w:p w:rsidR="00000000" w:rsidDel="00000000" w:rsidP="00000000" w:rsidRDefault="00000000" w:rsidRPr="00000000" w14:paraId="000000A5">
      <w:pPr>
        <w:spacing w:after="0" w:line="300" w:lineRule="auto"/>
        <w:rPr>
          <w:sz w:val="22"/>
          <w:szCs w:val="22"/>
        </w:rPr>
      </w:pPr>
      <w:r w:rsidDel="00000000" w:rsidR="00000000" w:rsidRPr="00000000">
        <w:rPr>
          <w:rtl w:val="0"/>
        </w:rPr>
      </w:r>
    </w:p>
    <w:p w:rsidR="00000000" w:rsidDel="00000000" w:rsidP="00000000" w:rsidRDefault="00000000" w:rsidRPr="00000000" w14:paraId="000000A6">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vIR0w5XJysLm6icPwJFzX2Nsg==">CgMxLjAyDmguZHI3MGUzY2lhaGRyMg5oLnZlbmpiYWQ0OG10dzgAciExUjRNY2JfZF9qSG9nbFhvcXpKc0FHWE4wbzRQSFVocGI=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